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3B35" w:rsidRDefault="006F3B35" w:rsidP="006F3B35">
      <w:pPr>
        <w:spacing w:after="0" w:line="240" w:lineRule="atLeast"/>
        <w:jc w:val="center"/>
        <w:outlineLvl w:val="0"/>
        <w:rPr>
          <w:rFonts w:ascii="Times New Roman" w:eastAsia="Times New Roman" w:hAnsi="Times New Roman" w:cs="Times New Roman"/>
          <w:color w:val="444854"/>
          <w:spacing w:val="-9"/>
          <w:kern w:val="36"/>
          <w:sz w:val="24"/>
          <w:szCs w:val="24"/>
          <w:lang w:eastAsia="it-IT"/>
        </w:rPr>
      </w:pPr>
      <w:r>
        <w:rPr>
          <w:rFonts w:ascii="Times New Roman" w:eastAsia="Times New Roman" w:hAnsi="Times New Roman" w:cs="Times New Roman"/>
          <w:color w:val="444854"/>
          <w:spacing w:val="-9"/>
          <w:kern w:val="36"/>
          <w:sz w:val="24"/>
          <w:szCs w:val="24"/>
          <w:lang w:eastAsia="it-IT"/>
        </w:rPr>
        <w:t>G 34 Cultura cristiana 8</w:t>
      </w:r>
    </w:p>
    <w:p w:rsidR="006F3B35" w:rsidRDefault="006F3B35" w:rsidP="006F3B35">
      <w:pPr>
        <w:spacing w:after="0" w:line="240" w:lineRule="atLeast"/>
        <w:outlineLvl w:val="0"/>
        <w:rPr>
          <w:rFonts w:ascii="Times New Roman" w:eastAsia="Times New Roman" w:hAnsi="Times New Roman" w:cs="Times New Roman"/>
          <w:color w:val="444854"/>
          <w:spacing w:val="-9"/>
          <w:kern w:val="36"/>
          <w:sz w:val="24"/>
          <w:szCs w:val="24"/>
          <w:lang w:eastAsia="it-IT"/>
        </w:rPr>
      </w:pPr>
    </w:p>
    <w:p w:rsidR="006F3B35" w:rsidRDefault="006F3B35" w:rsidP="006F3B35">
      <w:pPr>
        <w:spacing w:after="0" w:line="240" w:lineRule="atLeast"/>
        <w:outlineLvl w:val="0"/>
        <w:rPr>
          <w:rFonts w:ascii="Times New Roman" w:eastAsia="Times New Roman" w:hAnsi="Times New Roman" w:cs="Times New Roman"/>
          <w:color w:val="444854"/>
          <w:spacing w:val="-9"/>
          <w:kern w:val="36"/>
          <w:sz w:val="24"/>
          <w:szCs w:val="24"/>
          <w:lang w:eastAsia="it-IT"/>
        </w:rPr>
      </w:pPr>
    </w:p>
    <w:p w:rsidR="006F3B35" w:rsidRDefault="006F3B35" w:rsidP="006F3B35">
      <w:pPr>
        <w:spacing w:after="0" w:line="240" w:lineRule="atLeast"/>
        <w:outlineLvl w:val="0"/>
        <w:rPr>
          <w:rFonts w:ascii="Times New Roman" w:eastAsia="Times New Roman" w:hAnsi="Times New Roman" w:cs="Times New Roman"/>
          <w:color w:val="444854"/>
          <w:spacing w:val="-9"/>
          <w:kern w:val="36"/>
          <w:sz w:val="24"/>
          <w:szCs w:val="24"/>
          <w:lang w:eastAsia="it-IT"/>
        </w:rPr>
      </w:pPr>
    </w:p>
    <w:p w:rsidR="006F3B35" w:rsidRDefault="006F3B35" w:rsidP="006F3B35">
      <w:pPr>
        <w:spacing w:after="0" w:line="240" w:lineRule="atLeast"/>
        <w:outlineLvl w:val="0"/>
        <w:rPr>
          <w:rFonts w:ascii="Times New Roman" w:eastAsia="Times New Roman" w:hAnsi="Times New Roman" w:cs="Times New Roman"/>
          <w:color w:val="444854"/>
          <w:spacing w:val="-9"/>
          <w:kern w:val="36"/>
          <w:sz w:val="24"/>
          <w:szCs w:val="24"/>
          <w:lang w:eastAsia="it-IT"/>
        </w:rPr>
      </w:pPr>
    </w:p>
    <w:p w:rsidR="006F3B35" w:rsidRDefault="006F3B35" w:rsidP="006F3B35">
      <w:pPr>
        <w:spacing w:after="0" w:line="240" w:lineRule="atLeast"/>
        <w:outlineLvl w:val="0"/>
        <w:rPr>
          <w:rFonts w:ascii="Times New Roman" w:eastAsia="Times New Roman" w:hAnsi="Times New Roman" w:cs="Times New Roman"/>
          <w:color w:val="444854"/>
          <w:spacing w:val="-9"/>
          <w:kern w:val="36"/>
          <w:sz w:val="24"/>
          <w:szCs w:val="24"/>
          <w:lang w:eastAsia="it-IT"/>
        </w:rPr>
      </w:pPr>
    </w:p>
    <w:p w:rsidR="006F3B35" w:rsidRPr="006F2E31" w:rsidRDefault="006F3B35" w:rsidP="006F3B35">
      <w:pPr>
        <w:spacing w:after="0" w:line="240" w:lineRule="atLeast"/>
        <w:outlineLvl w:val="0"/>
        <w:rPr>
          <w:rFonts w:ascii="Times New Roman" w:eastAsia="Times New Roman" w:hAnsi="Times New Roman" w:cs="Times New Roman"/>
          <w:b/>
          <w:color w:val="444854"/>
          <w:spacing w:val="-9"/>
          <w:kern w:val="36"/>
          <w:lang w:eastAsia="it-IT"/>
        </w:rPr>
      </w:pPr>
      <w:r w:rsidRPr="006F2E31">
        <w:rPr>
          <w:rFonts w:ascii="Times New Roman" w:eastAsia="Times New Roman" w:hAnsi="Times New Roman" w:cs="Times New Roman"/>
          <w:b/>
          <w:color w:val="444854"/>
          <w:spacing w:val="-9"/>
          <w:kern w:val="36"/>
          <w:lang w:eastAsia="it-IT"/>
        </w:rPr>
        <w:t xml:space="preserve">Il New </w:t>
      </w:r>
      <w:proofErr w:type="spellStart"/>
      <w:r w:rsidRPr="006F2E31">
        <w:rPr>
          <w:rFonts w:ascii="Times New Roman" w:eastAsia="Times New Roman" w:hAnsi="Times New Roman" w:cs="Times New Roman"/>
          <w:b/>
          <w:color w:val="444854"/>
          <w:spacing w:val="-9"/>
          <w:kern w:val="36"/>
          <w:lang w:eastAsia="it-IT"/>
        </w:rPr>
        <w:t>Age</w:t>
      </w:r>
      <w:proofErr w:type="spellEnd"/>
    </w:p>
    <w:p w:rsidR="006F3B35" w:rsidRPr="006F2E31" w:rsidRDefault="006F3B35" w:rsidP="006F3B35">
      <w:pPr>
        <w:spacing w:after="0" w:line="240" w:lineRule="atLeast"/>
        <w:jc w:val="both"/>
        <w:rPr>
          <w:rFonts w:ascii="Times New Roman" w:eastAsia="Times New Roman" w:hAnsi="Times New Roman" w:cs="Times New Roman"/>
          <w:lang w:eastAsia="it-IT"/>
        </w:rPr>
      </w:pPr>
      <w:r w:rsidRPr="006F2E31">
        <w:rPr>
          <w:rFonts w:ascii="Times New Roman" w:eastAsia="Times New Roman" w:hAnsi="Times New Roman" w:cs="Times New Roman"/>
          <w:noProof/>
          <w:lang w:eastAsia="it-IT"/>
        </w:rPr>
        <w:drawing>
          <wp:anchor distT="0" distB="0" distL="114300" distR="114300" simplePos="0" relativeHeight="251659264" behindDoc="0" locked="0" layoutInCell="1" allowOverlap="1">
            <wp:simplePos x="0" y="0"/>
            <wp:positionH relativeFrom="column">
              <wp:posOffset>46990</wp:posOffset>
            </wp:positionH>
            <wp:positionV relativeFrom="paragraph">
              <wp:posOffset>135890</wp:posOffset>
            </wp:positionV>
            <wp:extent cx="1904365" cy="1905635"/>
            <wp:effectExtent l="19050" t="0" r="635" b="0"/>
            <wp:wrapSquare wrapText="bothSides"/>
            <wp:docPr id="1" name="Immagine 1" descr="new 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w age"/>
                    <pic:cNvPicPr>
                      <a:picLocks noChangeAspect="1" noChangeArrowheads="1"/>
                    </pic:cNvPicPr>
                  </pic:nvPicPr>
                  <pic:blipFill>
                    <a:blip r:embed="rId4" cstate="print"/>
                    <a:srcRect/>
                    <a:stretch>
                      <a:fillRect/>
                    </a:stretch>
                  </pic:blipFill>
                  <pic:spPr bwMode="auto">
                    <a:xfrm>
                      <a:off x="0" y="0"/>
                      <a:ext cx="1904365" cy="1905635"/>
                    </a:xfrm>
                    <a:prstGeom prst="rect">
                      <a:avLst/>
                    </a:prstGeom>
                    <a:noFill/>
                    <a:ln w="9525">
                      <a:noFill/>
                      <a:miter lim="800000"/>
                      <a:headEnd/>
                      <a:tailEnd/>
                    </a:ln>
                  </pic:spPr>
                </pic:pic>
              </a:graphicData>
            </a:graphic>
          </wp:anchor>
        </w:drawing>
      </w:r>
    </w:p>
    <w:p w:rsidR="006F3B35" w:rsidRPr="006F2E31" w:rsidRDefault="006F3B35" w:rsidP="006F3B35">
      <w:pPr>
        <w:spacing w:after="0" w:line="240" w:lineRule="atLeast"/>
        <w:jc w:val="both"/>
        <w:rPr>
          <w:rFonts w:ascii="Times New Roman" w:eastAsia="Times New Roman" w:hAnsi="Times New Roman" w:cs="Times New Roman"/>
          <w:lang w:eastAsia="it-IT"/>
        </w:rPr>
      </w:pPr>
      <w:r w:rsidRPr="006F2E31">
        <w:rPr>
          <w:rFonts w:ascii="Times New Roman" w:eastAsia="Times New Roman" w:hAnsi="Times New Roman" w:cs="Times New Roman"/>
          <w:lang w:eastAsia="it-IT"/>
        </w:rPr>
        <w:t xml:space="preserve">Il New </w:t>
      </w:r>
      <w:proofErr w:type="spellStart"/>
      <w:r w:rsidRPr="006F2E31">
        <w:rPr>
          <w:rFonts w:ascii="Times New Roman" w:eastAsia="Times New Roman" w:hAnsi="Times New Roman" w:cs="Times New Roman"/>
          <w:lang w:eastAsia="it-IT"/>
        </w:rPr>
        <w:t>Age</w:t>
      </w:r>
      <w:proofErr w:type="spellEnd"/>
      <w:r w:rsidRPr="006F2E31">
        <w:rPr>
          <w:rFonts w:ascii="Times New Roman" w:eastAsia="Times New Roman" w:hAnsi="Times New Roman" w:cs="Times New Roman"/>
          <w:lang w:eastAsia="it-IT"/>
        </w:rPr>
        <w:t xml:space="preserve"> – talora definito con un’espressione concorrente per designare lo stesso fenomeno, “Età dell’Acquario” – può considerarsi una via di mezzo fra un movimento religioso e una nuova credenza: è un fenomeno che appare inafferrabile, che elude le definizioni e che – secondo i suoi stessi portavoce – avrebbe come caratteristica principale proprio quella di non poter essere definito, ma costituirebbe un “ambiente”, uno “stile di vita”, secondo le parole di un suo autorevole esponente come David </w:t>
      </w:r>
      <w:proofErr w:type="spellStart"/>
      <w:r w:rsidRPr="006F2E31">
        <w:rPr>
          <w:rFonts w:ascii="Times New Roman" w:eastAsia="Times New Roman" w:hAnsi="Times New Roman" w:cs="Times New Roman"/>
          <w:lang w:eastAsia="it-IT"/>
        </w:rPr>
        <w:t>Spangler</w:t>
      </w:r>
      <w:proofErr w:type="spellEnd"/>
      <w:r w:rsidRPr="006F2E31">
        <w:rPr>
          <w:rFonts w:ascii="Times New Roman" w:eastAsia="Times New Roman" w:hAnsi="Times New Roman" w:cs="Times New Roman"/>
          <w:lang w:eastAsia="it-IT"/>
        </w:rPr>
        <w:t>, una “metafora per l’espressione di uno spirito trasformativo e creativo”.</w:t>
      </w:r>
    </w:p>
    <w:p w:rsidR="006F3B35" w:rsidRPr="006F2E31" w:rsidRDefault="006F3B35" w:rsidP="006F3B35">
      <w:pPr>
        <w:spacing w:after="0" w:line="240" w:lineRule="atLeast"/>
        <w:ind w:firstLine="708"/>
        <w:jc w:val="both"/>
        <w:rPr>
          <w:rFonts w:ascii="Times New Roman" w:eastAsia="Times New Roman" w:hAnsi="Times New Roman" w:cs="Times New Roman"/>
          <w:lang w:eastAsia="it-IT"/>
        </w:rPr>
      </w:pPr>
      <w:r w:rsidRPr="006F2E31">
        <w:rPr>
          <w:rFonts w:ascii="Times New Roman" w:eastAsia="Times New Roman" w:hAnsi="Times New Roman" w:cs="Times New Roman"/>
          <w:lang w:eastAsia="it-IT"/>
        </w:rPr>
        <w:t>Eppure, nonostante l’apparente impossibilità di circoscrivere una definizione che vada oltre la semplice traduzione della formula inglese secondo cui tale fenomeno attenderebbe – appunto – un “Evo Nuovo” o un'”Età Nuova”, la riflessione scientifica è riuscita a produrre negli anni 1990 una serie di risultati particolarmente convincenti. Trattandosi di una realtà fluida e sfuggente – si potrebbe dire di un clima, un ambiente, un’atmosfera, un insieme di realtà che hanno fra loro una certa aria di famiglia, ma che presentano anche differenze e contraddizioni –, per favorire una visione globale quanto più fedele possibile, sarà sufficiente in questa sede una quadruplice definizione di questo fenomeno rispettivamente in una descrizione di natura psicologica, storica, sociologica e dottrinale.</w:t>
      </w:r>
    </w:p>
    <w:p w:rsidR="006F3B35" w:rsidRPr="006F2E31" w:rsidRDefault="006F3B35" w:rsidP="006F3B35">
      <w:pPr>
        <w:spacing w:after="0" w:line="240" w:lineRule="atLeast"/>
        <w:ind w:firstLine="708"/>
        <w:jc w:val="both"/>
        <w:rPr>
          <w:rFonts w:ascii="Times New Roman" w:eastAsia="Times New Roman" w:hAnsi="Times New Roman" w:cs="Times New Roman"/>
          <w:lang w:eastAsia="it-IT"/>
        </w:rPr>
      </w:pPr>
      <w:r w:rsidRPr="006F2E31">
        <w:rPr>
          <w:rFonts w:ascii="Times New Roman" w:eastAsia="Times New Roman" w:hAnsi="Times New Roman" w:cs="Times New Roman"/>
          <w:lang w:eastAsia="it-IT"/>
        </w:rPr>
        <w:t xml:space="preserve">Il New </w:t>
      </w:r>
      <w:proofErr w:type="spellStart"/>
      <w:r w:rsidRPr="006F2E31">
        <w:rPr>
          <w:rFonts w:ascii="Times New Roman" w:eastAsia="Times New Roman" w:hAnsi="Times New Roman" w:cs="Times New Roman"/>
          <w:lang w:eastAsia="it-IT"/>
        </w:rPr>
        <w:t>Age</w:t>
      </w:r>
      <w:proofErr w:type="spellEnd"/>
      <w:r w:rsidRPr="006F2E31">
        <w:rPr>
          <w:rFonts w:ascii="Times New Roman" w:eastAsia="Times New Roman" w:hAnsi="Times New Roman" w:cs="Times New Roman"/>
          <w:lang w:eastAsia="it-IT"/>
        </w:rPr>
        <w:t xml:space="preserve"> può essere anzitutto descritto in chiave psicologica come uno stato d’animo: come la sensazione, prima ancora della convinzione, condivisa da un numero socialmente significativo di persone di essere entrati o di stare per entrare in un’epoca nuova, che è contrassegnata da cambiamenti radicali e qualitativi non in uno solo, ma in tutti i settori della vita dell’uomo. I cambiamenti scientifici – reali o mitici – dovrebbero, per una sorta di effetto domino, provocare una catena inarrestabile di cambiamenti globali cui nessun campo di attività dell’uomo dovrebbe sfuggire: cambiamenti politici, artistici, culturali, filosofici e religiosi.</w:t>
      </w:r>
    </w:p>
    <w:p w:rsidR="006F3B35" w:rsidRPr="006F2E31" w:rsidRDefault="006F3B35" w:rsidP="006F3B35">
      <w:pPr>
        <w:spacing w:after="0" w:line="240" w:lineRule="atLeast"/>
        <w:ind w:firstLine="708"/>
        <w:jc w:val="both"/>
        <w:rPr>
          <w:rFonts w:ascii="Times New Roman" w:eastAsia="Times New Roman" w:hAnsi="Times New Roman" w:cs="Times New Roman"/>
          <w:lang w:eastAsia="it-IT"/>
        </w:rPr>
      </w:pPr>
      <w:r w:rsidRPr="006F2E31">
        <w:rPr>
          <w:rFonts w:ascii="Times New Roman" w:eastAsia="Times New Roman" w:hAnsi="Times New Roman" w:cs="Times New Roman"/>
          <w:lang w:eastAsia="it-IT"/>
        </w:rPr>
        <w:t xml:space="preserve">Facendo astrazione dalle tesi di Marilyn Ferguson (1938-2008), autrice di una delle opere che ha maggiormente contribuito a diffondere le idee del New </w:t>
      </w:r>
      <w:proofErr w:type="spellStart"/>
      <w:r w:rsidRPr="006F2E31">
        <w:rPr>
          <w:rFonts w:ascii="Times New Roman" w:eastAsia="Times New Roman" w:hAnsi="Times New Roman" w:cs="Times New Roman"/>
          <w:lang w:eastAsia="it-IT"/>
        </w:rPr>
        <w:t>Age</w:t>
      </w:r>
      <w:proofErr w:type="spellEnd"/>
      <w:r w:rsidRPr="006F2E31">
        <w:rPr>
          <w:rFonts w:ascii="Times New Roman" w:eastAsia="Times New Roman" w:hAnsi="Times New Roman" w:cs="Times New Roman"/>
          <w:lang w:eastAsia="it-IT"/>
        </w:rPr>
        <w:t xml:space="preserve"> nel mondo – secondo cui questa sensazione socialmente diffusa trarrebbe origine dai progressi della scienza e dalla teoria delle “rivoluzioni scientifiche” del filosofo della scienza Thomas </w:t>
      </w:r>
      <w:proofErr w:type="spellStart"/>
      <w:r w:rsidRPr="006F2E31">
        <w:rPr>
          <w:rFonts w:ascii="Times New Roman" w:eastAsia="Times New Roman" w:hAnsi="Times New Roman" w:cs="Times New Roman"/>
          <w:lang w:eastAsia="it-IT"/>
        </w:rPr>
        <w:t>Kuhn</w:t>
      </w:r>
      <w:proofErr w:type="spellEnd"/>
      <w:r w:rsidRPr="006F2E31">
        <w:rPr>
          <w:rFonts w:ascii="Times New Roman" w:eastAsia="Times New Roman" w:hAnsi="Times New Roman" w:cs="Times New Roman"/>
          <w:lang w:eastAsia="it-IT"/>
        </w:rPr>
        <w:t xml:space="preserve"> (1923-1996), il quale sosteneva che quando nella scienza non sono soltanto singole “teorie”, ma interi “paradigmi” a cambiare, si determina una “rivoluzione” –, possiamo rintracciare le origini del New </w:t>
      </w:r>
      <w:proofErr w:type="spellStart"/>
      <w:r w:rsidRPr="006F2E31">
        <w:rPr>
          <w:rFonts w:ascii="Times New Roman" w:eastAsia="Times New Roman" w:hAnsi="Times New Roman" w:cs="Times New Roman"/>
          <w:lang w:eastAsia="it-IT"/>
        </w:rPr>
        <w:t>Age</w:t>
      </w:r>
      <w:proofErr w:type="spellEnd"/>
      <w:r w:rsidRPr="006F2E31">
        <w:rPr>
          <w:rFonts w:ascii="Times New Roman" w:eastAsia="Times New Roman" w:hAnsi="Times New Roman" w:cs="Times New Roman"/>
          <w:lang w:eastAsia="it-IT"/>
        </w:rPr>
        <w:t xml:space="preserve"> come stato d’animo in correnti di pensiero che annunciavano o promettevano cambiamenti radicali e globali nell’ambito di speculazioni astrologiche e delle politiche alternative. In tal senso il New </w:t>
      </w:r>
      <w:proofErr w:type="spellStart"/>
      <w:r w:rsidRPr="006F2E31">
        <w:rPr>
          <w:rFonts w:ascii="Times New Roman" w:eastAsia="Times New Roman" w:hAnsi="Times New Roman" w:cs="Times New Roman"/>
          <w:lang w:eastAsia="it-IT"/>
        </w:rPr>
        <w:t>Age</w:t>
      </w:r>
      <w:proofErr w:type="spellEnd"/>
      <w:r w:rsidRPr="006F2E31">
        <w:rPr>
          <w:rFonts w:ascii="Times New Roman" w:eastAsia="Times New Roman" w:hAnsi="Times New Roman" w:cs="Times New Roman"/>
          <w:lang w:eastAsia="it-IT"/>
        </w:rPr>
        <w:t xml:space="preserve"> non è solo l’attesa profetica di un'”età nuova” – al contrario, il futuro è già cominciato da tempo – né si riduce a un rinnovato interesse per il mondo occulto, esoterico o inconscio, perché ne fanno parte allo stesso titolo movimenti di rovesciamento dei “paradigmi” in campo politico, economico e morale.</w:t>
      </w:r>
    </w:p>
    <w:p w:rsidR="006F3B35" w:rsidRPr="006F2E31" w:rsidRDefault="006F3B35" w:rsidP="006F3B35">
      <w:pPr>
        <w:spacing w:after="0" w:line="240" w:lineRule="atLeast"/>
        <w:ind w:firstLine="708"/>
        <w:jc w:val="both"/>
        <w:rPr>
          <w:rFonts w:ascii="Times New Roman" w:eastAsia="Times New Roman" w:hAnsi="Times New Roman" w:cs="Times New Roman"/>
          <w:lang w:eastAsia="it-IT"/>
        </w:rPr>
      </w:pPr>
      <w:r w:rsidRPr="006F2E31">
        <w:rPr>
          <w:rFonts w:ascii="Times New Roman" w:eastAsia="Times New Roman" w:hAnsi="Times New Roman" w:cs="Times New Roman"/>
          <w:lang w:eastAsia="it-IT"/>
        </w:rPr>
        <w:t xml:space="preserve">Dal punto di vista astrologico l’idea dell'”evo nuovo”, o della “nuova era”, si fonda sulla versione moderna della teoria, di per sé molto antica, della precessione degli equinozi, per la quale il sole cambierebbe di segno zodiacale ogni 2160 anni. L’elaboratore moderno di questa teoria è stato l’esoterista francese Paul Le </w:t>
      </w:r>
      <w:proofErr w:type="spellStart"/>
      <w:r w:rsidRPr="006F2E31">
        <w:rPr>
          <w:rFonts w:ascii="Times New Roman" w:eastAsia="Times New Roman" w:hAnsi="Times New Roman" w:cs="Times New Roman"/>
          <w:lang w:eastAsia="it-IT"/>
        </w:rPr>
        <w:t>Cour</w:t>
      </w:r>
      <w:proofErr w:type="spellEnd"/>
      <w:r w:rsidRPr="006F2E31">
        <w:rPr>
          <w:rFonts w:ascii="Times New Roman" w:eastAsia="Times New Roman" w:hAnsi="Times New Roman" w:cs="Times New Roman"/>
          <w:lang w:eastAsia="it-IT"/>
        </w:rPr>
        <w:t xml:space="preserve"> (1871-1954), nella sua opera del 1937 </w:t>
      </w:r>
      <w:r w:rsidRPr="006F2E31">
        <w:rPr>
          <w:rFonts w:ascii="Times New Roman" w:eastAsia="Times New Roman" w:hAnsi="Times New Roman" w:cs="Times New Roman"/>
          <w:i/>
          <w:iCs/>
          <w:lang w:eastAsia="it-IT"/>
        </w:rPr>
        <w:t>L’Era dell’Acquario. Il segreto dello Zodiaco, il futuro prossimo dell’umanità</w:t>
      </w:r>
      <w:r w:rsidRPr="006F2E31">
        <w:rPr>
          <w:rFonts w:ascii="Times New Roman" w:eastAsia="Times New Roman" w:hAnsi="Times New Roman" w:cs="Times New Roman"/>
          <w:lang w:eastAsia="it-IT"/>
        </w:rPr>
        <w:t>, secondo cui l’Età dei Pesci, iniziata approssimativamente verso l’anno 1 dopo Cristo, dovrebbe cedere il passo all’Età dell’Acquario verso l’anno 2160; in seguito sono stati proposti altri calcoli e l’ingresso nell’Età dell’Acquario è stata fissata in numerose date fra il 1920 e il 2300. È appena il caso di ricordare, che su un altro versante, secondo la tradizione della legge dei cicli dell’umanità – che si ritrova nella maggior parte delle grandi civiltà, indiane, greche, egiziane, sumere, indù, cinesi – quest’ultima sarebbe arrivata oggi al punto di passaggio dall’Età del Ferro all’Età dell’Oro. La serie di coincidenze cronologiche e l’identificazione del simbolo astrologico dei Pesci con il pesce come simbolo di Cristo – secondo l’acrostico greco di </w:t>
      </w:r>
      <w:proofErr w:type="spellStart"/>
      <w:r w:rsidRPr="006F2E31">
        <w:rPr>
          <w:rFonts w:ascii="Times New Roman" w:eastAsia="Times New Roman" w:hAnsi="Times New Roman" w:cs="Times New Roman"/>
          <w:i/>
          <w:iCs/>
          <w:lang w:eastAsia="it-IT"/>
        </w:rPr>
        <w:t>Ichtús</w:t>
      </w:r>
      <w:proofErr w:type="spellEnd"/>
      <w:r w:rsidRPr="006F2E31">
        <w:rPr>
          <w:rFonts w:ascii="Times New Roman" w:eastAsia="Times New Roman" w:hAnsi="Times New Roman" w:cs="Times New Roman"/>
          <w:lang w:eastAsia="it-IT"/>
        </w:rPr>
        <w:t xml:space="preserve"> (“pesce”), che dà origine all’invocazione “Gesù Cristo Figlio di Dio </w:t>
      </w:r>
      <w:r w:rsidRPr="006F2E31">
        <w:rPr>
          <w:rFonts w:ascii="Times New Roman" w:eastAsia="Times New Roman" w:hAnsi="Times New Roman" w:cs="Times New Roman"/>
          <w:lang w:eastAsia="it-IT"/>
        </w:rPr>
        <w:lastRenderedPageBreak/>
        <w:t>Salvatore” – rendevano facile l’associazione fra l’Età dei Pesci e l’era cristiana, e la successiva Età dell’Acquario con un’era</w:t>
      </w:r>
      <w:r w:rsidRPr="006F2E31">
        <w:rPr>
          <w:rFonts w:ascii="Times New Roman" w:eastAsia="Times New Roman" w:hAnsi="Times New Roman" w:cs="Times New Roman"/>
          <w:b/>
          <w:bCs/>
          <w:lang w:eastAsia="it-IT"/>
        </w:rPr>
        <w:t> </w:t>
      </w:r>
      <w:r w:rsidRPr="006F2E31">
        <w:rPr>
          <w:rFonts w:ascii="Times New Roman" w:eastAsia="Times New Roman" w:hAnsi="Times New Roman" w:cs="Times New Roman"/>
          <w:lang w:eastAsia="it-IT"/>
        </w:rPr>
        <w:t>in cui sarebbe apparso qualcosa di radicalmente nuovo rispetto al cristianesimo.</w:t>
      </w:r>
    </w:p>
    <w:p w:rsidR="006F3B35" w:rsidRPr="006F2E31" w:rsidRDefault="006F3B35" w:rsidP="006F3B35">
      <w:pPr>
        <w:spacing w:after="0" w:line="240" w:lineRule="atLeast"/>
        <w:ind w:firstLine="708"/>
        <w:jc w:val="both"/>
        <w:rPr>
          <w:rFonts w:ascii="Times New Roman" w:eastAsia="Times New Roman" w:hAnsi="Times New Roman" w:cs="Times New Roman"/>
          <w:lang w:eastAsia="it-IT"/>
        </w:rPr>
      </w:pPr>
      <w:r w:rsidRPr="006F2E31">
        <w:rPr>
          <w:rFonts w:ascii="Times New Roman" w:eastAsia="Times New Roman" w:hAnsi="Times New Roman" w:cs="Times New Roman"/>
          <w:lang w:eastAsia="it-IT"/>
        </w:rPr>
        <w:t xml:space="preserve">Se, come ha osservato lo storico dell’esoterismo Robert </w:t>
      </w:r>
      <w:proofErr w:type="spellStart"/>
      <w:r w:rsidRPr="006F2E31">
        <w:rPr>
          <w:rFonts w:ascii="Times New Roman" w:eastAsia="Times New Roman" w:hAnsi="Times New Roman" w:cs="Times New Roman"/>
          <w:lang w:eastAsia="it-IT"/>
        </w:rPr>
        <w:t>Amadou</w:t>
      </w:r>
      <w:proofErr w:type="spellEnd"/>
      <w:r w:rsidRPr="006F2E31">
        <w:rPr>
          <w:rFonts w:ascii="Times New Roman" w:eastAsia="Times New Roman" w:hAnsi="Times New Roman" w:cs="Times New Roman"/>
          <w:lang w:eastAsia="it-IT"/>
        </w:rPr>
        <w:t xml:space="preserve"> (1924-2006), una serie di autori precedenti avevano influenzato lo schema di Le </w:t>
      </w:r>
      <w:proofErr w:type="spellStart"/>
      <w:r w:rsidRPr="006F2E31">
        <w:rPr>
          <w:rFonts w:ascii="Times New Roman" w:eastAsia="Times New Roman" w:hAnsi="Times New Roman" w:cs="Times New Roman"/>
          <w:lang w:eastAsia="it-IT"/>
        </w:rPr>
        <w:t>Cour</w:t>
      </w:r>
      <w:proofErr w:type="spellEnd"/>
      <w:r w:rsidRPr="006F2E31">
        <w:rPr>
          <w:rFonts w:ascii="Times New Roman" w:eastAsia="Times New Roman" w:hAnsi="Times New Roman" w:cs="Times New Roman"/>
          <w:lang w:eastAsia="it-IT"/>
        </w:rPr>
        <w:t xml:space="preserve">, va notato come per quest’ultimo – in parte diversamente dai suoi posteri, più o meno al corrente di questo loro precursore – l’Età dell’Acquario sarebbe stata caratterizzata da un nuovo cristianesimo, non più gerarchico sotto il segno di san Pietro, ma spirituale ed esoterico sotto il segno di san Giovanni. Negli anni 1960 il tema astrologico dell’Età dell’Acquario come “evo nuovo” è diventato popolare negli Stati Uniti e nel 1968 – una data particolarmente ricca di suggestioni storiche, che ci ricorda anche l’altra radice psicologica del New </w:t>
      </w:r>
      <w:proofErr w:type="spellStart"/>
      <w:r w:rsidRPr="006F2E31">
        <w:rPr>
          <w:rFonts w:ascii="Times New Roman" w:eastAsia="Times New Roman" w:hAnsi="Times New Roman" w:cs="Times New Roman"/>
          <w:lang w:eastAsia="it-IT"/>
        </w:rPr>
        <w:t>Age</w:t>
      </w:r>
      <w:proofErr w:type="spellEnd"/>
      <w:r w:rsidRPr="006F2E31">
        <w:rPr>
          <w:rFonts w:ascii="Times New Roman" w:eastAsia="Times New Roman" w:hAnsi="Times New Roman" w:cs="Times New Roman"/>
          <w:lang w:eastAsia="it-IT"/>
        </w:rPr>
        <w:t>: i postumi delle rivolte studentesche del “maggio francese” e dei </w:t>
      </w:r>
      <w:r w:rsidRPr="006F2E31">
        <w:rPr>
          <w:rFonts w:ascii="Times New Roman" w:eastAsia="Times New Roman" w:hAnsi="Times New Roman" w:cs="Times New Roman"/>
          <w:i/>
          <w:iCs/>
          <w:lang w:eastAsia="it-IT"/>
        </w:rPr>
        <w:t xml:space="preserve">campus </w:t>
      </w:r>
      <w:r w:rsidRPr="006F2E31">
        <w:rPr>
          <w:rFonts w:ascii="Times New Roman" w:eastAsia="Times New Roman" w:hAnsi="Times New Roman" w:cs="Times New Roman"/>
          <w:lang w:eastAsia="it-IT"/>
        </w:rPr>
        <w:t>americani, che spingeranno molti giovani verso la riscoperta di forme esotiche di neospiritualismo – anche le canzoni giovanili cominciarono a inneggiare a questa nuova era, come ricordano le parole d’esordio del brano </w:t>
      </w:r>
      <w:proofErr w:type="spellStart"/>
      <w:r w:rsidRPr="006F2E31">
        <w:rPr>
          <w:rFonts w:ascii="Times New Roman" w:eastAsia="Times New Roman" w:hAnsi="Times New Roman" w:cs="Times New Roman"/>
          <w:i/>
          <w:iCs/>
          <w:lang w:eastAsia="it-IT"/>
        </w:rPr>
        <w:t>Aquarius</w:t>
      </w:r>
      <w:proofErr w:type="spellEnd"/>
      <w:r w:rsidRPr="006F2E31">
        <w:rPr>
          <w:rFonts w:ascii="Times New Roman" w:eastAsia="Times New Roman" w:hAnsi="Times New Roman" w:cs="Times New Roman"/>
          <w:lang w:eastAsia="it-IT"/>
        </w:rPr>
        <w:t> della celebre commedia musicale </w:t>
      </w:r>
      <w:proofErr w:type="spellStart"/>
      <w:r w:rsidRPr="006F2E31">
        <w:rPr>
          <w:rFonts w:ascii="Times New Roman" w:eastAsia="Times New Roman" w:hAnsi="Times New Roman" w:cs="Times New Roman"/>
          <w:i/>
          <w:iCs/>
          <w:lang w:eastAsia="it-IT"/>
        </w:rPr>
        <w:t>Hair</w:t>
      </w:r>
      <w:proofErr w:type="spellEnd"/>
      <w:r w:rsidRPr="006F2E31">
        <w:rPr>
          <w:rFonts w:ascii="Times New Roman" w:eastAsia="Times New Roman" w:hAnsi="Times New Roman" w:cs="Times New Roman"/>
          <w:lang w:eastAsia="it-IT"/>
        </w:rPr>
        <w:t xml:space="preserve">: “Armonia, lealtà, chiarezza / Simpatia, luce e </w:t>
      </w:r>
      <w:proofErr w:type="spellStart"/>
      <w:r w:rsidRPr="006F2E31">
        <w:rPr>
          <w:rFonts w:ascii="Times New Roman" w:eastAsia="Times New Roman" w:hAnsi="Times New Roman" w:cs="Times New Roman"/>
          <w:lang w:eastAsia="it-IT"/>
        </w:rPr>
        <w:t>verità…</w:t>
      </w:r>
      <w:proofErr w:type="spellEnd"/>
      <w:r w:rsidRPr="006F2E31">
        <w:rPr>
          <w:rFonts w:ascii="Times New Roman" w:eastAsia="Times New Roman" w:hAnsi="Times New Roman" w:cs="Times New Roman"/>
          <w:lang w:eastAsia="it-IT"/>
        </w:rPr>
        <w:t xml:space="preserve"> / Nessuno ne sopprimerà la libertà! / Nessuno ne imbavaglierà lo spirito! / La mistica ci consentirà di comprendere / E l’uomo imparerà di nuovo a pensare / Grazie all’Acquario! Grazie all’Acquario!”.</w:t>
      </w:r>
    </w:p>
    <w:p w:rsidR="006F3B35" w:rsidRPr="006F2E31" w:rsidRDefault="006F3B35" w:rsidP="006F3B35">
      <w:pPr>
        <w:spacing w:after="0" w:line="240" w:lineRule="atLeast"/>
        <w:jc w:val="both"/>
        <w:rPr>
          <w:rFonts w:ascii="Times New Roman" w:eastAsia="Times New Roman" w:hAnsi="Times New Roman" w:cs="Times New Roman"/>
          <w:lang w:eastAsia="it-IT"/>
        </w:rPr>
      </w:pPr>
      <w:r w:rsidRPr="006F2E31">
        <w:rPr>
          <w:rFonts w:ascii="Times New Roman" w:eastAsia="Times New Roman" w:hAnsi="Times New Roman" w:cs="Times New Roman"/>
          <w:lang w:eastAsia="it-IT"/>
        </w:rPr>
        <w:t>Dal punto di vista storico,</w:t>
      </w:r>
      <w:r w:rsidRPr="006F2E31">
        <w:rPr>
          <w:rFonts w:ascii="Times New Roman" w:eastAsia="Times New Roman" w:hAnsi="Times New Roman" w:cs="Times New Roman"/>
          <w:b/>
          <w:bCs/>
          <w:lang w:eastAsia="it-IT"/>
        </w:rPr>
        <w:t> </w:t>
      </w:r>
      <w:r w:rsidRPr="006F2E31">
        <w:rPr>
          <w:rFonts w:ascii="Times New Roman" w:eastAsia="Times New Roman" w:hAnsi="Times New Roman" w:cs="Times New Roman"/>
          <w:lang w:eastAsia="it-IT"/>
        </w:rPr>
        <w:t xml:space="preserve">le analisi culturalmente più sofisticate riconducono il New </w:t>
      </w:r>
      <w:proofErr w:type="spellStart"/>
      <w:r w:rsidRPr="006F2E31">
        <w:rPr>
          <w:rFonts w:ascii="Times New Roman" w:eastAsia="Times New Roman" w:hAnsi="Times New Roman" w:cs="Times New Roman"/>
          <w:lang w:eastAsia="it-IT"/>
        </w:rPr>
        <w:t>Age</w:t>
      </w:r>
      <w:proofErr w:type="spellEnd"/>
      <w:r w:rsidRPr="006F2E31">
        <w:rPr>
          <w:rFonts w:ascii="Times New Roman" w:eastAsia="Times New Roman" w:hAnsi="Times New Roman" w:cs="Times New Roman"/>
          <w:lang w:eastAsia="it-IT"/>
        </w:rPr>
        <w:t xml:space="preserve"> alla categoria del </w:t>
      </w:r>
      <w:r w:rsidRPr="006F2E31">
        <w:rPr>
          <w:rFonts w:ascii="Times New Roman" w:eastAsia="Times New Roman" w:hAnsi="Times New Roman" w:cs="Times New Roman"/>
          <w:i/>
          <w:iCs/>
          <w:lang w:eastAsia="it-IT"/>
        </w:rPr>
        <w:t>revival</w:t>
      </w:r>
      <w:r w:rsidRPr="006F2E31">
        <w:rPr>
          <w:rFonts w:ascii="Times New Roman" w:eastAsia="Times New Roman" w:hAnsi="Times New Roman" w:cs="Times New Roman"/>
          <w:lang w:eastAsia="it-IT"/>
        </w:rPr>
        <w:t>, del “movimento di risveglio”, nonostante il fatto che gli storici delle religioni, soprattutto in ambito anglo-americano, abbiano applicato questa categoria particolarmente al fenomeno del </w:t>
      </w:r>
      <w:proofErr w:type="spellStart"/>
      <w:r w:rsidRPr="006F2E31">
        <w:rPr>
          <w:rFonts w:ascii="Times New Roman" w:eastAsia="Times New Roman" w:hAnsi="Times New Roman" w:cs="Times New Roman"/>
          <w:lang w:eastAsia="it-IT"/>
        </w:rPr>
        <w:fldChar w:fldCharType="begin"/>
      </w:r>
      <w:r w:rsidRPr="006F2E31">
        <w:rPr>
          <w:rFonts w:ascii="Times New Roman" w:eastAsia="Times New Roman" w:hAnsi="Times New Roman" w:cs="Times New Roman"/>
          <w:lang w:eastAsia="it-IT"/>
        </w:rPr>
        <w:instrText xml:space="preserve"> HYPERLINK "http://www.cesnur.com/il-protestantesimo-pentecostale/" </w:instrText>
      </w:r>
      <w:r w:rsidRPr="006F2E31">
        <w:rPr>
          <w:rFonts w:ascii="Times New Roman" w:eastAsia="Times New Roman" w:hAnsi="Times New Roman" w:cs="Times New Roman"/>
          <w:lang w:eastAsia="it-IT"/>
        </w:rPr>
        <w:fldChar w:fldCharType="separate"/>
      </w:r>
      <w:r w:rsidRPr="006F2E31">
        <w:rPr>
          <w:rFonts w:ascii="Times New Roman" w:eastAsia="Times New Roman" w:hAnsi="Times New Roman" w:cs="Times New Roman"/>
          <w:color w:val="53A1B8"/>
          <w:u w:val="single"/>
          <w:lang w:eastAsia="it-IT"/>
        </w:rPr>
        <w:t>pentecostalismo</w:t>
      </w:r>
      <w:proofErr w:type="spellEnd"/>
      <w:r w:rsidRPr="006F2E31">
        <w:rPr>
          <w:rFonts w:ascii="Times New Roman" w:eastAsia="Times New Roman" w:hAnsi="Times New Roman" w:cs="Times New Roman"/>
          <w:lang w:eastAsia="it-IT"/>
        </w:rPr>
        <w:fldChar w:fldCharType="end"/>
      </w:r>
      <w:r w:rsidRPr="006F2E31">
        <w:rPr>
          <w:rFonts w:ascii="Times New Roman" w:eastAsia="Times New Roman" w:hAnsi="Times New Roman" w:cs="Times New Roman"/>
          <w:lang w:eastAsia="it-IT"/>
        </w:rPr>
        <w:t xml:space="preserve">, presentatosi a partire dai primi anni del secolo XX – appunto – come movimento di risveglio del mondo protestante. Il New </w:t>
      </w:r>
      <w:proofErr w:type="spellStart"/>
      <w:r w:rsidRPr="006F2E31">
        <w:rPr>
          <w:rFonts w:ascii="Times New Roman" w:eastAsia="Times New Roman" w:hAnsi="Times New Roman" w:cs="Times New Roman"/>
          <w:lang w:eastAsia="it-IT"/>
        </w:rPr>
        <w:t>Age</w:t>
      </w:r>
      <w:proofErr w:type="spellEnd"/>
      <w:r w:rsidRPr="006F2E31">
        <w:rPr>
          <w:rFonts w:ascii="Times New Roman" w:eastAsia="Times New Roman" w:hAnsi="Times New Roman" w:cs="Times New Roman"/>
          <w:lang w:eastAsia="it-IT"/>
        </w:rPr>
        <w:t xml:space="preserve"> si pone come movimento di risveglio, nell’area culturale di lingua inglese, non più del mondo cristiano ma del mondo laico se non laicista. Anche questo ambiente, la cui organizzazione culturale era largamente affidata alle logge massoniche e alla più discreta – ma non meno importante – influenza della </w:t>
      </w:r>
      <w:hyperlink r:id="rId5" w:history="1">
        <w:r w:rsidRPr="006F2E31">
          <w:rPr>
            <w:rFonts w:ascii="Times New Roman" w:eastAsia="Times New Roman" w:hAnsi="Times New Roman" w:cs="Times New Roman"/>
            <w:color w:val="53A1B8"/>
            <w:u w:val="single"/>
            <w:lang w:eastAsia="it-IT"/>
          </w:rPr>
          <w:t>Società Teosofica</w:t>
        </w:r>
      </w:hyperlink>
      <w:r w:rsidRPr="006F2E31">
        <w:rPr>
          <w:rFonts w:ascii="Times New Roman" w:eastAsia="Times New Roman" w:hAnsi="Times New Roman" w:cs="Times New Roman"/>
          <w:lang w:eastAsia="it-IT"/>
        </w:rPr>
        <w:t>, si trovava a partire dagli anni intorno alla Seconda guerra mondiale, in uno di quegli stati di freddezza e di aridità che producono così spesso nella storia i fenomeni di</w:t>
      </w:r>
      <w:r w:rsidRPr="006F2E31">
        <w:rPr>
          <w:rFonts w:ascii="Times New Roman" w:eastAsia="Times New Roman" w:hAnsi="Times New Roman" w:cs="Times New Roman"/>
          <w:i/>
          <w:iCs/>
          <w:lang w:eastAsia="it-IT"/>
        </w:rPr>
        <w:t> revival</w:t>
      </w:r>
      <w:r w:rsidRPr="006F2E31">
        <w:rPr>
          <w:rFonts w:ascii="Times New Roman" w:eastAsia="Times New Roman" w:hAnsi="Times New Roman" w:cs="Times New Roman"/>
          <w:lang w:eastAsia="it-IT"/>
        </w:rPr>
        <w:t xml:space="preserve">. Gli ambienti massonici e teosofici, in particolare, denunciavano una preoccupante incapacità d’interpretare i tempi e di svolgere il consueto ruolo di organizzazione culturale. Nel mondo teosofico il disagio si era tradotto in una serie di scismi, il più rilevante dei quali era stato promosso da Alice Bailey, che del resto aveva soggiornato ad </w:t>
      </w:r>
      <w:proofErr w:type="spellStart"/>
      <w:r w:rsidRPr="006F2E31">
        <w:rPr>
          <w:rFonts w:ascii="Times New Roman" w:eastAsia="Times New Roman" w:hAnsi="Times New Roman" w:cs="Times New Roman"/>
          <w:lang w:eastAsia="it-IT"/>
        </w:rPr>
        <w:t>Ascona</w:t>
      </w:r>
      <w:proofErr w:type="spellEnd"/>
      <w:r w:rsidRPr="006F2E31">
        <w:rPr>
          <w:rFonts w:ascii="Times New Roman" w:eastAsia="Times New Roman" w:hAnsi="Times New Roman" w:cs="Times New Roman"/>
          <w:lang w:eastAsia="it-IT"/>
        </w:rPr>
        <w:t xml:space="preserve"> (Svizzera), presso il Monte Verità, santuario di una nuova religiosità che rappresenta la preistoria del New </w:t>
      </w:r>
      <w:proofErr w:type="spellStart"/>
      <w:r w:rsidRPr="006F2E31">
        <w:rPr>
          <w:rFonts w:ascii="Times New Roman" w:eastAsia="Times New Roman" w:hAnsi="Times New Roman" w:cs="Times New Roman"/>
          <w:lang w:eastAsia="it-IT"/>
        </w:rPr>
        <w:t>Age</w:t>
      </w:r>
      <w:proofErr w:type="spellEnd"/>
      <w:r w:rsidRPr="006F2E31">
        <w:rPr>
          <w:rFonts w:ascii="Times New Roman" w:eastAsia="Times New Roman" w:hAnsi="Times New Roman" w:cs="Times New Roman"/>
          <w:lang w:eastAsia="it-IT"/>
        </w:rPr>
        <w:t>.</w:t>
      </w:r>
    </w:p>
    <w:p w:rsidR="006F3B35" w:rsidRPr="006F2E31" w:rsidRDefault="006F3B35" w:rsidP="006F3B35">
      <w:pPr>
        <w:spacing w:after="0" w:line="240" w:lineRule="atLeast"/>
        <w:jc w:val="both"/>
        <w:rPr>
          <w:rFonts w:ascii="Times New Roman" w:eastAsia="Times New Roman" w:hAnsi="Times New Roman" w:cs="Times New Roman"/>
          <w:lang w:eastAsia="it-IT"/>
        </w:rPr>
      </w:pPr>
      <w:r w:rsidRPr="006F2E31">
        <w:rPr>
          <w:rFonts w:ascii="Times New Roman" w:eastAsia="Times New Roman" w:hAnsi="Times New Roman" w:cs="Times New Roman"/>
          <w:lang w:eastAsia="it-IT"/>
        </w:rPr>
        <w:t xml:space="preserve">Proprio la Bailey aveva cominciato negli anni 1920 a utilizzare l’espressione “New </w:t>
      </w:r>
      <w:proofErr w:type="spellStart"/>
      <w:r w:rsidRPr="006F2E31">
        <w:rPr>
          <w:rFonts w:ascii="Times New Roman" w:eastAsia="Times New Roman" w:hAnsi="Times New Roman" w:cs="Times New Roman"/>
          <w:lang w:eastAsia="it-IT"/>
        </w:rPr>
        <w:t>Age</w:t>
      </w:r>
      <w:proofErr w:type="spellEnd"/>
      <w:r w:rsidRPr="006F2E31">
        <w:rPr>
          <w:rFonts w:ascii="Times New Roman" w:eastAsia="Times New Roman" w:hAnsi="Times New Roman" w:cs="Times New Roman"/>
          <w:lang w:eastAsia="it-IT"/>
        </w:rPr>
        <w:t xml:space="preserve">” nel senso attuale. Pochi anni dopo la morte di Alice Bailey, alcuni fra i suoi più brillanti allievi inglesi – </w:t>
      </w:r>
      <w:proofErr w:type="spellStart"/>
      <w:r w:rsidRPr="006F2E31">
        <w:rPr>
          <w:rFonts w:ascii="Times New Roman" w:eastAsia="Times New Roman" w:hAnsi="Times New Roman" w:cs="Times New Roman"/>
          <w:lang w:eastAsia="it-IT"/>
        </w:rPr>
        <w:t>Sheena</w:t>
      </w:r>
      <w:proofErr w:type="spellEnd"/>
      <w:r w:rsidRPr="006F2E31">
        <w:rPr>
          <w:rFonts w:ascii="Times New Roman" w:eastAsia="Times New Roman" w:hAnsi="Times New Roman" w:cs="Times New Roman"/>
          <w:lang w:eastAsia="it-IT"/>
        </w:rPr>
        <w:t xml:space="preserve"> </w:t>
      </w:r>
      <w:proofErr w:type="spellStart"/>
      <w:r w:rsidRPr="006F2E31">
        <w:rPr>
          <w:rFonts w:ascii="Times New Roman" w:eastAsia="Times New Roman" w:hAnsi="Times New Roman" w:cs="Times New Roman"/>
          <w:lang w:eastAsia="it-IT"/>
        </w:rPr>
        <w:t>Govan</w:t>
      </w:r>
      <w:proofErr w:type="spellEnd"/>
      <w:r w:rsidRPr="006F2E31">
        <w:rPr>
          <w:rFonts w:ascii="Times New Roman" w:eastAsia="Times New Roman" w:hAnsi="Times New Roman" w:cs="Times New Roman"/>
          <w:lang w:eastAsia="it-IT"/>
        </w:rPr>
        <w:t xml:space="preserve"> (1912-1967), figlia di John George </w:t>
      </w:r>
      <w:proofErr w:type="spellStart"/>
      <w:r w:rsidRPr="006F2E31">
        <w:rPr>
          <w:rFonts w:ascii="Times New Roman" w:eastAsia="Times New Roman" w:hAnsi="Times New Roman" w:cs="Times New Roman"/>
          <w:lang w:eastAsia="it-IT"/>
        </w:rPr>
        <w:t>Govan</w:t>
      </w:r>
      <w:proofErr w:type="spellEnd"/>
      <w:r w:rsidRPr="006F2E31">
        <w:rPr>
          <w:rFonts w:ascii="Times New Roman" w:eastAsia="Times New Roman" w:hAnsi="Times New Roman" w:cs="Times New Roman"/>
          <w:lang w:eastAsia="it-IT"/>
        </w:rPr>
        <w:t xml:space="preserve"> (1861-1927, il fondatore del gruppo fondamentalista </w:t>
      </w:r>
      <w:proofErr w:type="spellStart"/>
      <w:r w:rsidRPr="006F2E31">
        <w:rPr>
          <w:rFonts w:ascii="Times New Roman" w:eastAsia="Times New Roman" w:hAnsi="Times New Roman" w:cs="Times New Roman"/>
          <w:lang w:eastAsia="it-IT"/>
        </w:rPr>
        <w:t>Faith</w:t>
      </w:r>
      <w:proofErr w:type="spellEnd"/>
      <w:r w:rsidRPr="006F2E31">
        <w:rPr>
          <w:rFonts w:ascii="Times New Roman" w:eastAsia="Times New Roman" w:hAnsi="Times New Roman" w:cs="Times New Roman"/>
          <w:lang w:eastAsia="it-IT"/>
        </w:rPr>
        <w:t xml:space="preserve"> </w:t>
      </w:r>
      <w:proofErr w:type="spellStart"/>
      <w:r w:rsidRPr="006F2E31">
        <w:rPr>
          <w:rFonts w:ascii="Times New Roman" w:eastAsia="Times New Roman" w:hAnsi="Times New Roman" w:cs="Times New Roman"/>
          <w:lang w:eastAsia="it-IT"/>
        </w:rPr>
        <w:t>Mission</w:t>
      </w:r>
      <w:proofErr w:type="spellEnd"/>
      <w:r w:rsidRPr="006F2E31">
        <w:rPr>
          <w:rFonts w:ascii="Times New Roman" w:eastAsia="Times New Roman" w:hAnsi="Times New Roman" w:cs="Times New Roman"/>
          <w:lang w:eastAsia="it-IT"/>
        </w:rPr>
        <w:t xml:space="preserve">, di cui ci siamo già occupati) e all’epoca guida di un gruppo indipendente di “cristiani esoterici”; Dorothy </w:t>
      </w:r>
      <w:proofErr w:type="spellStart"/>
      <w:r w:rsidRPr="006F2E31">
        <w:rPr>
          <w:rFonts w:ascii="Times New Roman" w:eastAsia="Times New Roman" w:hAnsi="Times New Roman" w:cs="Times New Roman"/>
          <w:lang w:eastAsia="it-IT"/>
        </w:rPr>
        <w:t>Maclean</w:t>
      </w:r>
      <w:proofErr w:type="spellEnd"/>
      <w:r w:rsidRPr="006F2E31">
        <w:rPr>
          <w:rFonts w:ascii="Times New Roman" w:eastAsia="Times New Roman" w:hAnsi="Times New Roman" w:cs="Times New Roman"/>
          <w:lang w:eastAsia="it-IT"/>
        </w:rPr>
        <w:t xml:space="preserve">, che apparteneva all’Ordine </w:t>
      </w:r>
      <w:proofErr w:type="spellStart"/>
      <w:r w:rsidRPr="006F2E31">
        <w:rPr>
          <w:rFonts w:ascii="Times New Roman" w:eastAsia="Times New Roman" w:hAnsi="Times New Roman" w:cs="Times New Roman"/>
          <w:lang w:eastAsia="it-IT"/>
        </w:rPr>
        <w:t>Sufi</w:t>
      </w:r>
      <w:proofErr w:type="spellEnd"/>
      <w:r w:rsidRPr="006F2E31">
        <w:rPr>
          <w:rFonts w:ascii="Times New Roman" w:eastAsia="Times New Roman" w:hAnsi="Times New Roman" w:cs="Times New Roman"/>
          <w:lang w:eastAsia="it-IT"/>
        </w:rPr>
        <w:t xml:space="preserve"> Occidentale fondato da </w:t>
      </w:r>
      <w:proofErr w:type="spellStart"/>
      <w:r w:rsidRPr="006F2E31">
        <w:rPr>
          <w:rFonts w:ascii="Times New Roman" w:eastAsia="Times New Roman" w:hAnsi="Times New Roman" w:cs="Times New Roman"/>
          <w:lang w:eastAsia="it-IT"/>
        </w:rPr>
        <w:fldChar w:fldCharType="begin"/>
      </w:r>
      <w:r w:rsidRPr="006F2E31">
        <w:rPr>
          <w:rFonts w:ascii="Times New Roman" w:eastAsia="Times New Roman" w:hAnsi="Times New Roman" w:cs="Times New Roman"/>
          <w:lang w:eastAsia="it-IT"/>
        </w:rPr>
        <w:instrText xml:space="preserve"> HYPERLINK "http://www.cesnur.com/lislam-e-i-movimenti-di-matrice-islamica-in-italia/gli-eredi-di-hazrat-inayat-khan-lordine-sufi-internazionale-e-il-movimento-internazionale-sufi/" </w:instrText>
      </w:r>
      <w:r w:rsidRPr="006F2E31">
        <w:rPr>
          <w:rFonts w:ascii="Times New Roman" w:eastAsia="Times New Roman" w:hAnsi="Times New Roman" w:cs="Times New Roman"/>
          <w:lang w:eastAsia="it-IT"/>
        </w:rPr>
        <w:fldChar w:fldCharType="separate"/>
      </w:r>
      <w:r w:rsidRPr="006F2E31">
        <w:rPr>
          <w:rFonts w:ascii="Times New Roman" w:eastAsia="Times New Roman" w:hAnsi="Times New Roman" w:cs="Times New Roman"/>
          <w:color w:val="53A1B8"/>
          <w:u w:val="single"/>
          <w:lang w:eastAsia="it-IT"/>
        </w:rPr>
        <w:t>Pir</w:t>
      </w:r>
      <w:proofErr w:type="spellEnd"/>
      <w:r w:rsidRPr="006F2E31">
        <w:rPr>
          <w:rFonts w:ascii="Times New Roman" w:eastAsia="Times New Roman" w:hAnsi="Times New Roman" w:cs="Times New Roman"/>
          <w:color w:val="53A1B8"/>
          <w:u w:val="single"/>
          <w:lang w:eastAsia="it-IT"/>
        </w:rPr>
        <w:t xml:space="preserve"> </w:t>
      </w:r>
      <w:proofErr w:type="spellStart"/>
      <w:r w:rsidRPr="006F2E31">
        <w:rPr>
          <w:rFonts w:ascii="Times New Roman" w:eastAsia="Times New Roman" w:hAnsi="Times New Roman" w:cs="Times New Roman"/>
          <w:color w:val="53A1B8"/>
          <w:u w:val="single"/>
          <w:lang w:eastAsia="it-IT"/>
        </w:rPr>
        <w:t>Hazrat</w:t>
      </w:r>
      <w:proofErr w:type="spellEnd"/>
      <w:r w:rsidRPr="006F2E31">
        <w:rPr>
          <w:rFonts w:ascii="Times New Roman" w:eastAsia="Times New Roman" w:hAnsi="Times New Roman" w:cs="Times New Roman"/>
          <w:color w:val="53A1B8"/>
          <w:u w:val="single"/>
          <w:lang w:eastAsia="it-IT"/>
        </w:rPr>
        <w:t xml:space="preserve"> </w:t>
      </w:r>
      <w:proofErr w:type="spellStart"/>
      <w:r w:rsidRPr="006F2E31">
        <w:rPr>
          <w:rFonts w:ascii="Times New Roman" w:eastAsia="Times New Roman" w:hAnsi="Times New Roman" w:cs="Times New Roman"/>
          <w:color w:val="53A1B8"/>
          <w:u w:val="single"/>
          <w:lang w:eastAsia="it-IT"/>
        </w:rPr>
        <w:t>Inayat</w:t>
      </w:r>
      <w:proofErr w:type="spellEnd"/>
      <w:r w:rsidRPr="006F2E31">
        <w:rPr>
          <w:rFonts w:ascii="Times New Roman" w:eastAsia="Times New Roman" w:hAnsi="Times New Roman" w:cs="Times New Roman"/>
          <w:color w:val="53A1B8"/>
          <w:u w:val="single"/>
          <w:lang w:eastAsia="it-IT"/>
        </w:rPr>
        <w:t xml:space="preserve"> Khan</w:t>
      </w:r>
      <w:r w:rsidRPr="006F2E31">
        <w:rPr>
          <w:rFonts w:ascii="Times New Roman" w:eastAsia="Times New Roman" w:hAnsi="Times New Roman" w:cs="Times New Roman"/>
          <w:lang w:eastAsia="it-IT"/>
        </w:rPr>
        <w:fldChar w:fldCharType="end"/>
      </w:r>
      <w:r w:rsidRPr="006F2E31">
        <w:rPr>
          <w:rFonts w:ascii="Times New Roman" w:eastAsia="Times New Roman" w:hAnsi="Times New Roman" w:cs="Times New Roman"/>
          <w:lang w:eastAsia="it-IT"/>
        </w:rPr>
        <w:t xml:space="preserve">; Peter Caddy (1917-1994), marito della </w:t>
      </w:r>
      <w:proofErr w:type="spellStart"/>
      <w:r w:rsidRPr="006F2E31">
        <w:rPr>
          <w:rFonts w:ascii="Times New Roman" w:eastAsia="Times New Roman" w:hAnsi="Times New Roman" w:cs="Times New Roman"/>
          <w:lang w:eastAsia="it-IT"/>
        </w:rPr>
        <w:t>Govan</w:t>
      </w:r>
      <w:proofErr w:type="spellEnd"/>
      <w:r w:rsidRPr="006F2E31">
        <w:rPr>
          <w:rFonts w:ascii="Times New Roman" w:eastAsia="Times New Roman" w:hAnsi="Times New Roman" w:cs="Times New Roman"/>
          <w:lang w:eastAsia="it-IT"/>
        </w:rPr>
        <w:t xml:space="preserve">; e </w:t>
      </w:r>
      <w:proofErr w:type="spellStart"/>
      <w:r w:rsidRPr="006F2E31">
        <w:rPr>
          <w:rFonts w:ascii="Times New Roman" w:eastAsia="Times New Roman" w:hAnsi="Times New Roman" w:cs="Times New Roman"/>
          <w:lang w:eastAsia="it-IT"/>
        </w:rPr>
        <w:t>Eileen</w:t>
      </w:r>
      <w:proofErr w:type="spellEnd"/>
      <w:r w:rsidRPr="006F2E31">
        <w:rPr>
          <w:rFonts w:ascii="Times New Roman" w:eastAsia="Times New Roman" w:hAnsi="Times New Roman" w:cs="Times New Roman"/>
          <w:lang w:eastAsia="it-IT"/>
        </w:rPr>
        <w:t xml:space="preserve"> Combe (1917-2006), che diventerà la seconda moglie di Caddy – iniziano un’avventura che conduce le figure più rappresentative di questo gruppo originario in un pellegrinaggio che li porta da </w:t>
      </w:r>
      <w:proofErr w:type="spellStart"/>
      <w:r w:rsidRPr="006F2E31">
        <w:rPr>
          <w:rFonts w:ascii="Times New Roman" w:eastAsia="Times New Roman" w:hAnsi="Times New Roman" w:cs="Times New Roman"/>
          <w:lang w:eastAsia="it-IT"/>
        </w:rPr>
        <w:t>Glastonbuy</w:t>
      </w:r>
      <w:proofErr w:type="spellEnd"/>
      <w:r w:rsidRPr="006F2E31">
        <w:rPr>
          <w:rFonts w:ascii="Times New Roman" w:eastAsia="Times New Roman" w:hAnsi="Times New Roman" w:cs="Times New Roman"/>
          <w:lang w:eastAsia="it-IT"/>
        </w:rPr>
        <w:t xml:space="preserve">, collegato alle leggende del passato celtico e arturiano della Gran Bretagna, a </w:t>
      </w:r>
      <w:proofErr w:type="spellStart"/>
      <w:r w:rsidRPr="006F2E31">
        <w:rPr>
          <w:rFonts w:ascii="Times New Roman" w:eastAsia="Times New Roman" w:hAnsi="Times New Roman" w:cs="Times New Roman"/>
          <w:lang w:eastAsia="it-IT"/>
        </w:rPr>
        <w:t>Forres</w:t>
      </w:r>
      <w:proofErr w:type="spellEnd"/>
      <w:r w:rsidRPr="006F2E31">
        <w:rPr>
          <w:rFonts w:ascii="Times New Roman" w:eastAsia="Times New Roman" w:hAnsi="Times New Roman" w:cs="Times New Roman"/>
          <w:lang w:eastAsia="it-IT"/>
        </w:rPr>
        <w:t xml:space="preserve">, in Scozia – dove riescono a farsi assumere come animatori del centro turistico Cluny Hill Hotel, che trasformano in centro teosofico – e infine in una landa desolata del Nord della Scozia, </w:t>
      </w:r>
      <w:proofErr w:type="spellStart"/>
      <w:r w:rsidRPr="006F2E31">
        <w:rPr>
          <w:rFonts w:ascii="Times New Roman" w:eastAsia="Times New Roman" w:hAnsi="Times New Roman" w:cs="Times New Roman"/>
          <w:lang w:eastAsia="it-IT"/>
        </w:rPr>
        <w:t>Findhorn</w:t>
      </w:r>
      <w:proofErr w:type="spellEnd"/>
      <w:r w:rsidRPr="006F2E31">
        <w:rPr>
          <w:rFonts w:ascii="Times New Roman" w:eastAsia="Times New Roman" w:hAnsi="Times New Roman" w:cs="Times New Roman"/>
          <w:lang w:eastAsia="it-IT"/>
        </w:rPr>
        <w:t>, dove nel 1962 fondano una comunità-giardino.</w:t>
      </w:r>
    </w:p>
    <w:p w:rsidR="006F3B35" w:rsidRPr="006F2E31" w:rsidRDefault="006F3B35" w:rsidP="006F3B35">
      <w:pPr>
        <w:spacing w:after="0" w:line="240" w:lineRule="atLeast"/>
        <w:jc w:val="both"/>
        <w:rPr>
          <w:rFonts w:ascii="Times New Roman" w:eastAsia="Times New Roman" w:hAnsi="Times New Roman" w:cs="Times New Roman"/>
          <w:lang w:eastAsia="it-IT"/>
        </w:rPr>
      </w:pPr>
      <w:r w:rsidRPr="006F2E31">
        <w:rPr>
          <w:rFonts w:ascii="Times New Roman" w:eastAsia="Times New Roman" w:hAnsi="Times New Roman" w:cs="Times New Roman"/>
          <w:lang w:eastAsia="it-IT"/>
        </w:rPr>
        <w:t xml:space="preserve">“Villaggio globale” e comunità ecologica secondo modelli tipici del New </w:t>
      </w:r>
      <w:proofErr w:type="spellStart"/>
      <w:r w:rsidRPr="006F2E31">
        <w:rPr>
          <w:rFonts w:ascii="Times New Roman" w:eastAsia="Times New Roman" w:hAnsi="Times New Roman" w:cs="Times New Roman"/>
          <w:lang w:eastAsia="it-IT"/>
        </w:rPr>
        <w:t>Age</w:t>
      </w:r>
      <w:proofErr w:type="spellEnd"/>
      <w:r w:rsidRPr="006F2E31">
        <w:rPr>
          <w:rFonts w:ascii="Times New Roman" w:eastAsia="Times New Roman" w:hAnsi="Times New Roman" w:cs="Times New Roman"/>
          <w:lang w:eastAsia="it-IT"/>
        </w:rPr>
        <w:t xml:space="preserve">, </w:t>
      </w:r>
      <w:proofErr w:type="spellStart"/>
      <w:r w:rsidRPr="006F2E31">
        <w:rPr>
          <w:rFonts w:ascii="Times New Roman" w:eastAsia="Times New Roman" w:hAnsi="Times New Roman" w:cs="Times New Roman"/>
          <w:lang w:eastAsia="it-IT"/>
        </w:rPr>
        <w:t>Findhorn</w:t>
      </w:r>
      <w:proofErr w:type="spellEnd"/>
      <w:r w:rsidRPr="006F2E31">
        <w:rPr>
          <w:rFonts w:ascii="Times New Roman" w:eastAsia="Times New Roman" w:hAnsi="Times New Roman" w:cs="Times New Roman"/>
          <w:lang w:eastAsia="it-IT"/>
        </w:rPr>
        <w:t xml:space="preserve"> è anche il luogo degli incontri e dei messaggi che i coniugi Caddy e la </w:t>
      </w:r>
      <w:proofErr w:type="spellStart"/>
      <w:r w:rsidRPr="006F2E31">
        <w:rPr>
          <w:rFonts w:ascii="Times New Roman" w:eastAsia="Times New Roman" w:hAnsi="Times New Roman" w:cs="Times New Roman"/>
          <w:lang w:eastAsia="it-IT"/>
        </w:rPr>
        <w:t>Maclean</w:t>
      </w:r>
      <w:proofErr w:type="spellEnd"/>
      <w:r w:rsidRPr="006F2E31">
        <w:rPr>
          <w:rFonts w:ascii="Times New Roman" w:eastAsia="Times New Roman" w:hAnsi="Times New Roman" w:cs="Times New Roman"/>
          <w:lang w:eastAsia="it-IT"/>
        </w:rPr>
        <w:t xml:space="preserve">, insieme ai seguaci che affluiscono numerosi e che costringono a costruire strutture permanenti – grazie anche al generoso appoggio di due mecenati inglesi sostenitori delle forme alternative di spiritualità: Sir George </w:t>
      </w:r>
      <w:proofErr w:type="spellStart"/>
      <w:r w:rsidRPr="006F2E31">
        <w:rPr>
          <w:rFonts w:ascii="Times New Roman" w:eastAsia="Times New Roman" w:hAnsi="Times New Roman" w:cs="Times New Roman"/>
          <w:lang w:eastAsia="it-IT"/>
        </w:rPr>
        <w:t>Trevelyan</w:t>
      </w:r>
      <w:proofErr w:type="spellEnd"/>
      <w:r w:rsidRPr="006F2E31">
        <w:rPr>
          <w:rFonts w:ascii="Times New Roman" w:eastAsia="Times New Roman" w:hAnsi="Times New Roman" w:cs="Times New Roman"/>
          <w:lang w:eastAsia="it-IT"/>
        </w:rPr>
        <w:t xml:space="preserve"> (1906-1996) e Sir Anthony </w:t>
      </w:r>
      <w:proofErr w:type="spellStart"/>
      <w:r w:rsidRPr="006F2E31">
        <w:rPr>
          <w:rFonts w:ascii="Times New Roman" w:eastAsia="Times New Roman" w:hAnsi="Times New Roman" w:cs="Times New Roman"/>
          <w:lang w:eastAsia="it-IT"/>
        </w:rPr>
        <w:t>Brooke</w:t>
      </w:r>
      <w:proofErr w:type="spellEnd"/>
      <w:r w:rsidRPr="006F2E31">
        <w:rPr>
          <w:rFonts w:ascii="Times New Roman" w:eastAsia="Times New Roman" w:hAnsi="Times New Roman" w:cs="Times New Roman"/>
          <w:lang w:eastAsia="it-IT"/>
        </w:rPr>
        <w:t xml:space="preserve"> (1912-2011), erede della dinastia dei “</w:t>
      </w:r>
      <w:r w:rsidRPr="006F2E31">
        <w:rPr>
          <w:rFonts w:ascii="Times New Roman" w:eastAsia="Times New Roman" w:hAnsi="Times New Roman" w:cs="Times New Roman"/>
          <w:i/>
          <w:iCs/>
          <w:lang w:eastAsia="it-IT"/>
        </w:rPr>
        <w:t>rajah</w:t>
      </w:r>
      <w:r w:rsidRPr="006F2E31">
        <w:rPr>
          <w:rFonts w:ascii="Times New Roman" w:eastAsia="Times New Roman" w:hAnsi="Times New Roman" w:cs="Times New Roman"/>
          <w:lang w:eastAsia="it-IT"/>
        </w:rPr>
        <w:t xml:space="preserve"> bianchi” di </w:t>
      </w:r>
      <w:proofErr w:type="spellStart"/>
      <w:r w:rsidRPr="006F2E31">
        <w:rPr>
          <w:rFonts w:ascii="Times New Roman" w:eastAsia="Times New Roman" w:hAnsi="Times New Roman" w:cs="Times New Roman"/>
          <w:lang w:eastAsia="it-IT"/>
        </w:rPr>
        <w:t>Sarawak</w:t>
      </w:r>
      <w:proofErr w:type="spellEnd"/>
      <w:r w:rsidRPr="006F2E31">
        <w:rPr>
          <w:rFonts w:ascii="Times New Roman" w:eastAsia="Times New Roman" w:hAnsi="Times New Roman" w:cs="Times New Roman"/>
          <w:lang w:eastAsia="it-IT"/>
        </w:rPr>
        <w:t xml:space="preserve"> nonché pronipote di James </w:t>
      </w:r>
      <w:proofErr w:type="spellStart"/>
      <w:r w:rsidRPr="006F2E31">
        <w:rPr>
          <w:rFonts w:ascii="Times New Roman" w:eastAsia="Times New Roman" w:hAnsi="Times New Roman" w:cs="Times New Roman"/>
          <w:lang w:eastAsia="it-IT"/>
        </w:rPr>
        <w:t>Brooke</w:t>
      </w:r>
      <w:proofErr w:type="spellEnd"/>
      <w:r w:rsidRPr="006F2E31">
        <w:rPr>
          <w:rFonts w:ascii="Times New Roman" w:eastAsia="Times New Roman" w:hAnsi="Times New Roman" w:cs="Times New Roman"/>
          <w:lang w:eastAsia="it-IT"/>
        </w:rPr>
        <w:t xml:space="preserve"> (1803-1868) – un personaggio storico realmente esistito e ben noto agli italiani come implacabile avversario del pirata </w:t>
      </w:r>
      <w:proofErr w:type="spellStart"/>
      <w:r w:rsidRPr="006F2E31">
        <w:rPr>
          <w:rFonts w:ascii="Times New Roman" w:eastAsia="Times New Roman" w:hAnsi="Times New Roman" w:cs="Times New Roman"/>
          <w:lang w:eastAsia="it-IT"/>
        </w:rPr>
        <w:t>salgariano</w:t>
      </w:r>
      <w:proofErr w:type="spellEnd"/>
      <w:r w:rsidRPr="006F2E31">
        <w:rPr>
          <w:rFonts w:ascii="Times New Roman" w:eastAsia="Times New Roman" w:hAnsi="Times New Roman" w:cs="Times New Roman"/>
          <w:lang w:eastAsia="it-IT"/>
        </w:rPr>
        <w:t xml:space="preserve"> della Malesia Sandokan –, ricevono da vari tipi di “entità”: Dio, </w:t>
      </w:r>
      <w:proofErr w:type="spellStart"/>
      <w:r w:rsidRPr="006F2E31">
        <w:rPr>
          <w:rFonts w:ascii="Times New Roman" w:eastAsia="Times New Roman" w:hAnsi="Times New Roman" w:cs="Times New Roman"/>
          <w:i/>
          <w:iCs/>
          <w:lang w:eastAsia="it-IT"/>
        </w:rPr>
        <w:t>devas</w:t>
      </w:r>
      <w:proofErr w:type="spellEnd"/>
      <w:r w:rsidRPr="006F2E31">
        <w:rPr>
          <w:rFonts w:ascii="Times New Roman" w:eastAsia="Times New Roman" w:hAnsi="Times New Roman" w:cs="Times New Roman"/>
          <w:lang w:eastAsia="it-IT"/>
        </w:rPr>
        <w:t> – spiriti della natura associati alle piante –, angeli, fate e perfino un “centro di luce” composto da un gruppo di prigionieri politici sovietici, morenti o anche già morti, capaci di comunicare dal fondo di una miniera di sale siberiana.</w:t>
      </w:r>
    </w:p>
    <w:p w:rsidR="006F3B35" w:rsidRDefault="006F3B35" w:rsidP="006F3B35">
      <w:pPr>
        <w:spacing w:after="0" w:line="240" w:lineRule="atLeast"/>
        <w:jc w:val="both"/>
        <w:rPr>
          <w:rFonts w:ascii="Times New Roman" w:eastAsia="Times New Roman" w:hAnsi="Times New Roman" w:cs="Times New Roman"/>
          <w:lang w:eastAsia="it-IT"/>
        </w:rPr>
      </w:pPr>
      <w:r w:rsidRPr="006F2E31">
        <w:rPr>
          <w:rFonts w:ascii="Times New Roman" w:eastAsia="Times New Roman" w:hAnsi="Times New Roman" w:cs="Times New Roman"/>
          <w:lang w:eastAsia="it-IT"/>
        </w:rPr>
        <w:t xml:space="preserve">La fama di </w:t>
      </w:r>
      <w:proofErr w:type="spellStart"/>
      <w:r w:rsidRPr="006F2E31">
        <w:rPr>
          <w:rFonts w:ascii="Times New Roman" w:eastAsia="Times New Roman" w:hAnsi="Times New Roman" w:cs="Times New Roman"/>
          <w:lang w:eastAsia="it-IT"/>
        </w:rPr>
        <w:t>Findhorn</w:t>
      </w:r>
      <w:proofErr w:type="spellEnd"/>
      <w:r w:rsidRPr="006F2E31">
        <w:rPr>
          <w:rFonts w:ascii="Times New Roman" w:eastAsia="Times New Roman" w:hAnsi="Times New Roman" w:cs="Times New Roman"/>
          <w:lang w:eastAsia="it-IT"/>
        </w:rPr>
        <w:t xml:space="preserve"> cresce sino a estendersi rapidamente anche oltreoceano: già nel 1962 – che può essere ritenuta, sulla base anzitutto della fondazione della stessa </w:t>
      </w:r>
      <w:proofErr w:type="spellStart"/>
      <w:r w:rsidRPr="006F2E31">
        <w:rPr>
          <w:rFonts w:ascii="Times New Roman" w:eastAsia="Times New Roman" w:hAnsi="Times New Roman" w:cs="Times New Roman"/>
          <w:lang w:eastAsia="it-IT"/>
        </w:rPr>
        <w:t>Findhorn</w:t>
      </w:r>
      <w:proofErr w:type="spellEnd"/>
      <w:r w:rsidRPr="006F2E31">
        <w:rPr>
          <w:rFonts w:ascii="Times New Roman" w:eastAsia="Times New Roman" w:hAnsi="Times New Roman" w:cs="Times New Roman"/>
          <w:lang w:eastAsia="it-IT"/>
        </w:rPr>
        <w:t xml:space="preserve">, la data più convincente della nascita del fenomeno New </w:t>
      </w:r>
      <w:proofErr w:type="spellStart"/>
      <w:r w:rsidRPr="006F2E31">
        <w:rPr>
          <w:rFonts w:ascii="Times New Roman" w:eastAsia="Times New Roman" w:hAnsi="Times New Roman" w:cs="Times New Roman"/>
          <w:lang w:eastAsia="it-IT"/>
        </w:rPr>
        <w:t>Age</w:t>
      </w:r>
      <w:proofErr w:type="spellEnd"/>
      <w:r w:rsidRPr="006F2E31">
        <w:rPr>
          <w:rFonts w:ascii="Times New Roman" w:eastAsia="Times New Roman" w:hAnsi="Times New Roman" w:cs="Times New Roman"/>
          <w:lang w:eastAsia="it-IT"/>
        </w:rPr>
        <w:t xml:space="preserve"> come oggi lo conosciamo – era stato fondato a </w:t>
      </w:r>
      <w:proofErr w:type="spellStart"/>
      <w:r w:rsidRPr="006F2E31">
        <w:rPr>
          <w:rFonts w:ascii="Times New Roman" w:eastAsia="Times New Roman" w:hAnsi="Times New Roman" w:cs="Times New Roman"/>
          <w:lang w:eastAsia="it-IT"/>
        </w:rPr>
        <w:fldChar w:fldCharType="begin"/>
      </w:r>
      <w:r w:rsidRPr="006F2E31">
        <w:rPr>
          <w:rFonts w:ascii="Times New Roman" w:eastAsia="Times New Roman" w:hAnsi="Times New Roman" w:cs="Times New Roman"/>
          <w:lang w:eastAsia="it-IT"/>
        </w:rPr>
        <w:instrText xml:space="preserve"> HYPERLINK "http://www.esalen.org/" </w:instrText>
      </w:r>
      <w:r w:rsidRPr="006F2E31">
        <w:rPr>
          <w:rFonts w:ascii="Times New Roman" w:eastAsia="Times New Roman" w:hAnsi="Times New Roman" w:cs="Times New Roman"/>
          <w:lang w:eastAsia="it-IT"/>
        </w:rPr>
        <w:fldChar w:fldCharType="separate"/>
      </w:r>
      <w:r w:rsidRPr="006F2E31">
        <w:rPr>
          <w:rFonts w:ascii="Times New Roman" w:eastAsia="Times New Roman" w:hAnsi="Times New Roman" w:cs="Times New Roman"/>
          <w:color w:val="53A1B8"/>
          <w:u w:val="single"/>
          <w:lang w:eastAsia="it-IT"/>
        </w:rPr>
        <w:t>Esalen</w:t>
      </w:r>
      <w:proofErr w:type="spellEnd"/>
      <w:r w:rsidRPr="006F2E31">
        <w:rPr>
          <w:rFonts w:ascii="Times New Roman" w:eastAsia="Times New Roman" w:hAnsi="Times New Roman" w:cs="Times New Roman"/>
          <w:lang w:eastAsia="it-IT"/>
        </w:rPr>
        <w:fldChar w:fldCharType="end"/>
      </w:r>
      <w:r w:rsidRPr="006F2E31">
        <w:rPr>
          <w:rFonts w:ascii="Times New Roman" w:eastAsia="Times New Roman" w:hAnsi="Times New Roman" w:cs="Times New Roman"/>
          <w:lang w:eastAsia="it-IT"/>
        </w:rPr>
        <w:t xml:space="preserve">, in California, un centro di incontri e seminari ispirato a simili </w:t>
      </w:r>
      <w:proofErr w:type="spellStart"/>
      <w:r w:rsidRPr="006F2E31">
        <w:rPr>
          <w:rFonts w:ascii="Times New Roman" w:eastAsia="Times New Roman" w:hAnsi="Times New Roman" w:cs="Times New Roman"/>
          <w:lang w:eastAsia="it-IT"/>
        </w:rPr>
        <w:t>princìpi</w:t>
      </w:r>
      <w:proofErr w:type="spellEnd"/>
      <w:r w:rsidRPr="006F2E31">
        <w:rPr>
          <w:rFonts w:ascii="Times New Roman" w:eastAsia="Times New Roman" w:hAnsi="Times New Roman" w:cs="Times New Roman"/>
          <w:lang w:eastAsia="it-IT"/>
        </w:rPr>
        <w:t xml:space="preserve">; e sempre dagli Stati Uniti arriva a </w:t>
      </w:r>
      <w:proofErr w:type="spellStart"/>
      <w:r w:rsidRPr="006F2E31">
        <w:rPr>
          <w:rFonts w:ascii="Times New Roman" w:eastAsia="Times New Roman" w:hAnsi="Times New Roman" w:cs="Times New Roman"/>
          <w:lang w:eastAsia="it-IT"/>
        </w:rPr>
        <w:t>Findhorn</w:t>
      </w:r>
      <w:proofErr w:type="spellEnd"/>
      <w:r w:rsidRPr="006F2E31">
        <w:rPr>
          <w:rFonts w:ascii="Times New Roman" w:eastAsia="Times New Roman" w:hAnsi="Times New Roman" w:cs="Times New Roman"/>
          <w:lang w:eastAsia="it-IT"/>
        </w:rPr>
        <w:t xml:space="preserve"> David </w:t>
      </w:r>
      <w:proofErr w:type="spellStart"/>
      <w:r w:rsidRPr="006F2E31">
        <w:rPr>
          <w:rFonts w:ascii="Times New Roman" w:eastAsia="Times New Roman" w:hAnsi="Times New Roman" w:cs="Times New Roman"/>
          <w:lang w:eastAsia="it-IT"/>
        </w:rPr>
        <w:t>Spangler</w:t>
      </w:r>
      <w:proofErr w:type="spellEnd"/>
      <w:r w:rsidRPr="006F2E31">
        <w:rPr>
          <w:rFonts w:ascii="Times New Roman" w:eastAsia="Times New Roman" w:hAnsi="Times New Roman" w:cs="Times New Roman"/>
          <w:lang w:eastAsia="it-IT"/>
        </w:rPr>
        <w:t xml:space="preserve">, il quale contribuisce non poco a far conoscere questa nuova realtà nel continente americano attraverso la pubblicazione dei più influenti manifesti del New </w:t>
      </w:r>
      <w:proofErr w:type="spellStart"/>
      <w:r w:rsidRPr="006F2E31">
        <w:rPr>
          <w:rFonts w:ascii="Times New Roman" w:eastAsia="Times New Roman" w:hAnsi="Times New Roman" w:cs="Times New Roman"/>
          <w:lang w:eastAsia="it-IT"/>
        </w:rPr>
        <w:t>Age</w:t>
      </w:r>
      <w:proofErr w:type="spellEnd"/>
      <w:r w:rsidRPr="006F2E31">
        <w:rPr>
          <w:rFonts w:ascii="Times New Roman" w:eastAsia="Times New Roman" w:hAnsi="Times New Roman" w:cs="Times New Roman"/>
          <w:lang w:eastAsia="it-IT"/>
        </w:rPr>
        <w:t xml:space="preserve"> durante gli anni 1970, favorendo così la successiva diffusione e successo su scala mondiale di una realtà originariamente nata in Europa.</w:t>
      </w:r>
    </w:p>
    <w:p w:rsidR="006F3B35" w:rsidRDefault="006F3B35" w:rsidP="006F3B35">
      <w:pPr>
        <w:spacing w:after="0" w:line="240" w:lineRule="atLeast"/>
        <w:jc w:val="right"/>
        <w:rPr>
          <w:rFonts w:ascii="Times New Roman" w:eastAsia="Times New Roman" w:hAnsi="Times New Roman" w:cs="Times New Roman"/>
          <w:lang w:eastAsia="it-IT"/>
        </w:rPr>
      </w:pPr>
      <w:r>
        <w:rPr>
          <w:rFonts w:ascii="Times New Roman" w:eastAsia="Times New Roman" w:hAnsi="Times New Roman" w:cs="Times New Roman"/>
          <w:lang w:eastAsia="it-IT"/>
        </w:rPr>
        <w:t>(Continua al numero successivo)</w:t>
      </w:r>
    </w:p>
    <w:sectPr w:rsidR="006F3B35" w:rsidSect="006F3B35">
      <w:pgSz w:w="11906" w:h="16838"/>
      <w:pgMar w:top="1417" w:right="1134"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defaultTabStop w:val="708"/>
  <w:hyphenationZone w:val="283"/>
  <w:characterSpacingControl w:val="doNotCompress"/>
  <w:compat/>
  <w:rsids>
    <w:rsidRoot w:val="006F3B35"/>
    <w:rsid w:val="006F3B35"/>
    <w:rsid w:val="00A41DF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F3B35"/>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cesnur.com/gruppi-teosofici-e-post-teosofici/la-societa-teosofica/" TargetMode="Externa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1580</Words>
  <Characters>9007</Characters>
  <Application>Microsoft Office Word</Application>
  <DocSecurity>0</DocSecurity>
  <Lines>75</Lines>
  <Paragraphs>21</Paragraphs>
  <ScaleCrop>false</ScaleCrop>
  <Company>Hewlett-Packard Company</Company>
  <LinksUpToDate>false</LinksUpToDate>
  <CharactersWithSpaces>10566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dcterms:created xsi:type="dcterms:W3CDTF">2017-09-05T06:41:00Z</dcterms:created>
  <dcterms:modified xsi:type="dcterms:W3CDTF">2017-09-05T06:43:00Z</dcterms:modified>
</cp:coreProperties>
</file>